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4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 «Экономическая теория» относится к обязательной части, является дисциплиной Блока Б1. «Дисциплины (модули)».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вероятностей и математическая статистика</w:t>
            </w:r>
          </w:p>
          <w:p>
            <w:pPr>
              <w:jc w:val="center"/>
              <w:spacing w:after="0" w:line="240" w:lineRule="auto"/>
              <w:rPr>
                <w:sz w:val="22"/>
                <w:szCs w:val="22"/>
              </w:rPr>
            </w:pPr>
            <w:r>
              <w:rPr>
                <w:rFonts w:ascii="Times New Roman" w:hAnsi="Times New Roman" w:cs="Times New Roman"/>
                <w:color w:val="#000000"/>
                <w:sz w:val="22"/>
                <w:szCs w:val="22"/>
              </w:rPr>
              <w:t> Экономика фирмы (предприятия)</w:t>
            </w:r>
          </w:p>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Рыночное хозяйство как форма существования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Конкуренция и монополия.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10.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11.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12. Международные аспекты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студентовсм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9. Мировое хозяйство и международная валютная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06.7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Выбор и ограничения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Рыночное хозяйство как форма существования экономики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Основы теории производства.</w:t>
            </w:r>
          </w:p>
        </w:tc>
      </w:tr>
      <w:tr>
        <w:trPr>
          <w:trHeight w:hRule="exact" w:val="4648.5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p>
            <w:pPr>
              <w:jc w:val="both"/>
              <w:spacing w:after="0" w:line="240" w:lineRule="auto"/>
              <w:rPr>
                <w:sz w:val="24"/>
                <w:szCs w:val="24"/>
              </w:rPr>
            </w:pPr>
            <w:r>
              <w:rPr>
                <w:rFonts w:ascii="Times New Roman" w:hAnsi="Times New Roman" w:cs="Times New Roman"/>
                <w:color w:val="#000000"/>
                <w:sz w:val="24"/>
                <w:szCs w:val="24"/>
              </w:rPr>
              <w:t> Доход от реализации товара. Доход при постоянных и изменяющихся ценах. Общий, средний и предельный доход. Графики дохода. Экономическая и бухгалтерская прибыль. Общая, средняя и предельная прибыль. Убыточность производства. Графики прибыли. Виды, причины и факторы рисков хозяйственной деятельности фирмы. Прибыль и ее виды, распределение прибыли российского предприятия. Рентабельность, ее виды. Рентабельность в зависимости от отрасли производства. Проблема самоокупаемости и рентабельности российских предприятий.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Конкуренция и монополия.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Рынки ресурсов.</w:t>
            </w:r>
          </w:p>
        </w:tc>
      </w:tr>
      <w:tr>
        <w:trPr>
          <w:trHeight w:hRule="exact" w:val="4746.3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Макроэкономическое равновесие.</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10. Нарушения макроэкономического равновесия</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11. Государственное регулирование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12. Международные аспекты развития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мирового хозяйства и закономерности его развития. Открытая и закрытая экономика. Валюта и валютный курс. Виды валют и валютного курса. Фиксированный и плавающий курсы валюты. Паритет покупательной способности. Факторы, влияющие на валютный курс.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4821"/>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60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518"/>
        </w:trPr>
        <w:tc>
          <w:tcPr>
            <w:tcW w:w="9640" w:type="dxa"/>
          </w:tcPr>
          <w:p/>
        </w:tc>
      </w:tr>
      <w:tr>
        <w:trPr>
          <w:trHeight w:hRule="exact" w:val="657.678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9. Мировое хозяйство и международная валютная система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Мировая система хозяйства, её основные черты и принципы организации.</w:t>
            </w:r>
          </w:p>
          <w:p>
            <w:pPr>
              <w:jc w:val="left"/>
              <w:spacing w:after="0" w:line="240" w:lineRule="auto"/>
              <w:rPr>
                <w:sz w:val="24"/>
                <w:szCs w:val="24"/>
              </w:rPr>
            </w:pPr>
            <w:r>
              <w:rPr>
                <w:rFonts w:ascii="Times New Roman" w:hAnsi="Times New Roman" w:cs="Times New Roman"/>
                <w:color w:val="#000000"/>
                <w:sz w:val="24"/>
                <w:szCs w:val="24"/>
              </w:rPr>
              <w:t> 2.	Мировой рынок и международная торговля.</w:t>
            </w:r>
          </w:p>
          <w:p>
            <w:pPr>
              <w:jc w:val="left"/>
              <w:spacing w:after="0" w:line="240" w:lineRule="auto"/>
              <w:rPr>
                <w:sz w:val="24"/>
                <w:szCs w:val="24"/>
              </w:rPr>
            </w:pPr>
            <w:r>
              <w:rPr>
                <w:rFonts w:ascii="Times New Roman" w:hAnsi="Times New Roman" w:cs="Times New Roman"/>
                <w:color w:val="#000000"/>
                <w:sz w:val="24"/>
                <w:szCs w:val="24"/>
              </w:rPr>
              <w:t> 3.	Валютный рынок: сущность, основные черты.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0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2021-2022_ФГОС3++2021_Бак-ОФО-ПИ(21)_plx_Экономическая теория</dc:title>
  <dc:creator>FastReport.NET</dc:creator>
</cp:coreProperties>
</file>